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Akamai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Capital World Investors</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11,303,324.00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11,331,622.00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11,331,622.00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0"/>
        <w:gridCol w:w="8910"/>
        <w:gridCol w:w="155"/>
      </w:tblGrid>
      <w:tr>
        <w:trPr/>
        <w:tc>
          <w:tcPr>
            <w:tcW w:w="1140" w:type="dxa"/>
            <w:tcBorders/>
            <w:vAlign w:val="center"/>
          </w:tcPr>
          <w:p>
            <w:pPr>
              <w:pStyle w:val="TableContents"/>
              <w:bidi w:val="0"/>
              <w:spacing w:before="0" w:after="283"/>
              <w:jc w:val="left"/>
              <w:rPr/>
            </w:pPr>
            <w:r>
              <w:rPr/>
              <w:t>Item 1.</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issuer: </w:t>
            </w:r>
          </w:p>
          <w:p>
            <w:pPr>
              <w:pStyle w:val="TableContents"/>
              <w:bidi w:val="0"/>
              <w:spacing w:before="0" w:after="0"/>
              <w:jc w:val="left"/>
              <w:rPr/>
            </w:pPr>
            <w:r>
              <w:rPr/>
              <w:t>Akamai Technologies, Inc.</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145 Broadway, Cambridge, MA 02142</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2.</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Capital World Investors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333 SOUTH HOPE STREET, 55TH FLOOR, LOS ANGELES, CALIFORNIA 90071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jc w:val="left"/>
              <w:rPr/>
            </w:pPr>
            <w:r>
              <w:rPr/>
              <w:t xml:space="preserve">Citizenship: </w:t>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3.</w:t>
            </w:r>
          </w:p>
        </w:tc>
        <w:tc>
          <w:tcPr>
            <w:tcW w:w="89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(f)</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(g)</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(h)</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(j)</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(k)</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9065"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4.</w:t>
            </w:r>
          </w:p>
        </w:tc>
        <w:tc>
          <w:tcPr>
            <w:tcW w:w="89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11,331,622 ** **Capital World Investors ("CWI")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CWI is deemed to be the beneficial owner of 11,331,622 shares or 7.8% of the 145,385,451 shares believed to be outstanding.</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7.8  %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11,303,324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11,331,622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5.</w:t>
            </w:r>
          </w:p>
        </w:tc>
        <w:tc>
          <w:tcPr>
            <w:tcW w:w="89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6.</w:t>
            </w:r>
          </w:p>
        </w:tc>
        <w:tc>
          <w:tcPr>
            <w:tcW w:w="89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7.</w:t>
            </w:r>
          </w:p>
        </w:tc>
        <w:tc>
          <w:tcPr>
            <w:tcW w:w="89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8.</w:t>
            </w:r>
          </w:p>
        </w:tc>
        <w:tc>
          <w:tcPr>
            <w:tcW w:w="89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9.</w:t>
            </w:r>
          </w:p>
        </w:tc>
        <w:tc>
          <w:tcPr>
            <w:tcW w:w="89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38" w:type="dxa"/>
        <w:jc w:val="left"/>
        <w:tblInd w:w="0" w:type="dxa"/>
        <w:tblLayout w:type="fixed"/>
        <w:tblCellMar>
          <w:top w:w="28" w:type="dxa"/>
          <w:left w:w="28" w:type="dxa"/>
          <w:bottom w:w="28" w:type="dxa"/>
          <w:right w:w="28" w:type="dxa"/>
        </w:tblCellMar>
      </w:tblPr>
      <w:tblGrid>
        <w:gridCol w:w="2519"/>
        <w:gridCol w:w="2519"/>
      </w:tblGrid>
      <w:tr>
        <w:trPr/>
        <w:tc>
          <w:tcPr>
            <w:tcW w:w="2519" w:type="dxa"/>
            <w:tcBorders/>
            <w:vAlign w:val="center"/>
          </w:tcPr>
          <w:p>
            <w:pPr>
              <w:pStyle w:val="TableContents"/>
              <w:bidi w:val="0"/>
              <w:spacing w:before="0" w:after="0"/>
              <w:jc w:val="left"/>
              <w:rPr/>
            </w:pPr>
            <w:r>
              <w:rPr/>
              <w:t> </w:t>
            </w:r>
          </w:p>
          <w:tbl>
            <w:tblPr>
              <w:tblW w:w="2416" w:type="dxa"/>
              <w:jc w:val="left"/>
              <w:tblInd w:w="0" w:type="dxa"/>
              <w:tblLayout w:type="fixed"/>
              <w:tblCellMar>
                <w:top w:w="28" w:type="dxa"/>
                <w:left w:w="28" w:type="dxa"/>
                <w:bottom w:w="28" w:type="dxa"/>
                <w:right w:w="28" w:type="dxa"/>
              </w:tblCellMar>
            </w:tblPr>
            <w:tblGrid>
              <w:gridCol w:w="2416"/>
            </w:tblGrid>
            <w:tr>
              <w:trPr/>
              <w:tc>
                <w:tcPr>
                  <w:tcW w:w="2416" w:type="dxa"/>
                  <w:tcBorders/>
                  <w:vAlign w:val="center"/>
                </w:tcPr>
                <w:p>
                  <w:pPr>
                    <w:pStyle w:val="TableContents"/>
                    <w:bidi w:val="0"/>
                    <w:spacing w:before="0" w:after="0"/>
                    <w:jc w:val="left"/>
                    <w:rPr/>
                  </w:pPr>
                  <w:r>
                    <w:rPr/>
                    <w:t>Capital World Investors</w:t>
                  </w:r>
                </w:p>
              </w:tc>
            </w:tr>
          </w:tbl>
          <w:p>
            <w:pPr>
              <w:pStyle w:val="TableContents"/>
              <w:bidi w:val="0"/>
              <w:spacing w:before="0" w:after="283"/>
              <w:jc w:val="left"/>
              <w:rPr/>
            </w:pPr>
            <w:r>
              <w:rPr/>
            </w:r>
          </w:p>
        </w:tc>
        <w:tc>
          <w:tcPr>
            <w:tcW w:w="25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Timothy J. Moon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Vice President and Senior Counsel, Capital Research and Management Company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824</Words>
  <Characters>4413</Characters>
  <CharactersWithSpaces>5229</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